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2C" w:rsidRDefault="003E63A3" w:rsidP="003E63A3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inline distT="0" distB="0" distL="0" distR="0">
            <wp:extent cx="1352616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ana_logo.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59" cy="44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095" w:rsidRPr="00FE7E2C">
        <w:rPr>
          <w:rFonts w:ascii="Sylfaen" w:hAnsi="Sylfaen"/>
          <w:b/>
          <w:lang w:val="ka-GE"/>
        </w:rPr>
        <w:t xml:space="preserve">ბიოლოგიურ მეურნეობათა ასოციაცია „ელკანა“ აცხადებს ტენდერს  </w:t>
      </w:r>
    </w:p>
    <w:p w:rsidR="007E750B" w:rsidRPr="007E750B" w:rsidRDefault="007E750B" w:rsidP="007E750B">
      <w:pPr>
        <w:ind w:left="-720"/>
        <w:jc w:val="center"/>
        <w:rPr>
          <w:rFonts w:ascii="Sylfaen" w:hAnsi="Sylfaen"/>
          <w:b/>
          <w:lang w:val="ka-GE"/>
        </w:rPr>
      </w:pPr>
      <w:r w:rsidRPr="007E750B">
        <w:rPr>
          <w:rFonts w:ascii="Sylfaen" w:hAnsi="Sylfaen"/>
          <w:b/>
          <w:lang w:val="ka-GE"/>
        </w:rPr>
        <w:t>მეფუტკრეობაში საჭირო აღჭურვილობების შესაძენად</w:t>
      </w:r>
    </w:p>
    <w:p w:rsidR="00207095" w:rsidRPr="007E750B" w:rsidRDefault="007E750B" w:rsidP="00694211">
      <w:pPr>
        <w:ind w:left="-720"/>
        <w:jc w:val="center"/>
        <w:rPr>
          <w:rFonts w:ascii="Sylfaen" w:hAnsi="Sylfaen"/>
          <w:b/>
          <w:lang w:val="ka-GE"/>
        </w:rPr>
      </w:pPr>
      <w:r w:rsidRPr="007E750B">
        <w:rPr>
          <w:rFonts w:ascii="Sylfaen" w:hAnsi="Sylfaen"/>
          <w:b/>
          <w:lang w:val="ka-GE"/>
        </w:rPr>
        <w:t>პროექტის</w:t>
      </w:r>
      <w:r w:rsidR="00207095" w:rsidRPr="007E750B">
        <w:rPr>
          <w:rFonts w:ascii="Sylfaen" w:hAnsi="Sylfaen"/>
          <w:b/>
          <w:lang w:val="ka-GE"/>
        </w:rPr>
        <w:t xml:space="preserve">თვის  </w:t>
      </w:r>
      <w:r w:rsidRPr="0056772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750B">
        <w:rPr>
          <w:rFonts w:ascii="AcadNusx" w:hAnsi="AcadNusx"/>
          <w:b/>
          <w:sz w:val="24"/>
          <w:szCs w:val="24"/>
          <w:lang w:val="de-DE"/>
        </w:rPr>
        <w:t xml:space="preserve">(8366-00/2019): "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ორგანული</w:t>
      </w:r>
      <w:proofErr w:type="spellEnd"/>
      <w:r w:rsidRPr="007E750B">
        <w:rPr>
          <w:rFonts w:ascii="AcadNusx" w:hAnsi="AcadNusx"/>
          <w:b/>
          <w:sz w:val="24"/>
          <w:szCs w:val="24"/>
          <w:lang w:val="de-DE"/>
        </w:rPr>
        <w:t xml:space="preserve">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სოფლის</w:t>
      </w:r>
      <w:proofErr w:type="spellEnd"/>
      <w:r w:rsidRPr="007E750B">
        <w:rPr>
          <w:rFonts w:ascii="AcadNusx" w:hAnsi="AcadNusx"/>
          <w:b/>
          <w:sz w:val="24"/>
          <w:szCs w:val="24"/>
          <w:lang w:val="de-DE"/>
        </w:rPr>
        <w:t xml:space="preserve"> </w:t>
      </w:r>
      <w:proofErr w:type="spellStart"/>
      <w:r w:rsidRPr="007E750B">
        <w:rPr>
          <w:rFonts w:ascii="Sylfaen" w:hAnsi="Sylfaen" w:cs="Sylfaen"/>
          <w:b/>
          <w:sz w:val="24"/>
          <w:szCs w:val="24"/>
          <w:lang w:val="de-DE"/>
        </w:rPr>
        <w:t>მეურნეობის</w:t>
      </w:r>
      <w:proofErr w:type="spellEnd"/>
      <w:r w:rsidRPr="007E750B">
        <w:rPr>
          <w:rFonts w:ascii="Sylfaen" w:hAnsi="Sylfaen" w:cs="Sylfaen"/>
          <w:b/>
          <w:sz w:val="24"/>
          <w:szCs w:val="24"/>
          <w:lang w:val="de-DE"/>
        </w:rPr>
        <w:t xml:space="preserve"> </w:t>
      </w:r>
      <w:r w:rsidRPr="007E750B">
        <w:rPr>
          <w:rFonts w:ascii="Sylfaen" w:hAnsi="Sylfaen" w:cs="Sylfaen"/>
          <w:b/>
          <w:sz w:val="24"/>
          <w:szCs w:val="24"/>
          <w:lang w:val="ka-GE"/>
        </w:rPr>
        <w:t xml:space="preserve">და </w:t>
      </w:r>
      <w:r w:rsidRPr="0056772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E750B">
        <w:rPr>
          <w:rFonts w:ascii="Sylfaen" w:hAnsi="Sylfaen" w:cs="Sylfaen"/>
          <w:b/>
          <w:sz w:val="24"/>
          <w:szCs w:val="24"/>
          <w:lang w:val="ka-GE"/>
        </w:rPr>
        <w:t>ტურიზმის განვითარება მცხეთა-მთიანეთის რეგიონში“</w:t>
      </w:r>
    </w:p>
    <w:p w:rsidR="00207095" w:rsidRDefault="00AF40EA" w:rsidP="003E63A3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თქვენი </w:t>
      </w:r>
      <w:r w:rsidR="00207095">
        <w:rPr>
          <w:rFonts w:ascii="Sylfaen" w:hAnsi="Sylfaen"/>
          <w:lang w:val="ka-GE"/>
        </w:rPr>
        <w:t>შემოთავაზებები</w:t>
      </w:r>
      <w:r>
        <w:rPr>
          <w:rFonts w:ascii="Sylfaen" w:hAnsi="Sylfaen"/>
          <w:lang w:val="ka-GE"/>
        </w:rPr>
        <w:t>, ჯამურად 43 პოზიციაზე,</w:t>
      </w:r>
      <w:r w:rsidR="00207095">
        <w:rPr>
          <w:rFonts w:ascii="Sylfaen" w:hAnsi="Sylfaen"/>
          <w:lang w:val="ka-GE"/>
        </w:rPr>
        <w:t xml:space="preserve"> შეგიძლიათ   გამოგზავნოთ</w:t>
      </w:r>
      <w:r w:rsidR="007E750B" w:rsidRPr="007E750B">
        <w:rPr>
          <w:rFonts w:ascii="Sylfaen" w:hAnsi="Sylfaen"/>
          <w:lang w:val="ka-GE"/>
        </w:rPr>
        <w:t xml:space="preserve"> </w:t>
      </w:r>
      <w:r w:rsidR="007E750B">
        <w:rPr>
          <w:rFonts w:ascii="Sylfaen" w:hAnsi="Sylfaen"/>
          <w:lang w:val="ka-GE"/>
        </w:rPr>
        <w:t xml:space="preserve">ელექტრონულ </w:t>
      </w:r>
      <w:r w:rsidR="007E750B" w:rsidRPr="00420A66">
        <w:rPr>
          <w:rFonts w:ascii="Sylfaen" w:hAnsi="Sylfaen"/>
          <w:lang w:val="ka-GE"/>
        </w:rPr>
        <w:t xml:space="preserve">ფოსტაზე: </w:t>
      </w:r>
      <w:hyperlink r:id="rId6" w:history="1">
        <w:r w:rsidR="00567728" w:rsidRPr="00420A66">
          <w:rPr>
            <w:rStyle w:val="Hyperlink"/>
            <w:rFonts w:ascii="Arial" w:hAnsi="Arial" w:cs="Arial"/>
            <w:u w:val="none"/>
            <w:lang w:val="ka-GE"/>
          </w:rPr>
          <w:t>oart-manager@elkana.org.ge</w:t>
        </w:r>
      </w:hyperlink>
      <w:r w:rsidR="00567728" w:rsidRPr="00420A66">
        <w:rPr>
          <w:rFonts w:ascii="Sylfaen" w:hAnsi="Sylfaen" w:cs="Arial"/>
          <w:lang w:val="ka-GE"/>
        </w:rPr>
        <w:t xml:space="preserve">; </w:t>
      </w:r>
      <w:hyperlink r:id="rId7" w:history="1">
        <w:r w:rsidR="00567728" w:rsidRPr="00420A66">
          <w:rPr>
            <w:rStyle w:val="Hyperlink"/>
            <w:rFonts w:ascii="Arial" w:hAnsi="Arial" w:cs="Arial"/>
            <w:u w:val="none"/>
            <w:lang w:val="ka-GE"/>
          </w:rPr>
          <w:t>oart-marketing@elkana.org.ge</w:t>
        </w:r>
      </w:hyperlink>
      <w:r w:rsidR="00567728" w:rsidRPr="00420A66">
        <w:rPr>
          <w:rStyle w:val="Hyperlink"/>
          <w:rFonts w:ascii="Arial" w:hAnsi="Arial"/>
          <w:u w:val="none"/>
          <w:lang w:val="ka-GE"/>
        </w:rPr>
        <w:t>;</w:t>
      </w:r>
      <w:r w:rsidR="00567728" w:rsidRPr="00420A66">
        <w:rPr>
          <w:rFonts w:ascii="Sylfaen" w:hAnsi="Sylfaen" w:cs="Arial"/>
          <w:lang w:val="ka-GE"/>
        </w:rPr>
        <w:t xml:space="preserve"> </w:t>
      </w:r>
      <w:hyperlink r:id="rId8" w:history="1">
        <w:r w:rsidR="00420A66" w:rsidRPr="00420A66">
          <w:rPr>
            <w:rStyle w:val="Hyperlink"/>
            <w:rFonts w:ascii="Arial" w:hAnsi="Arial" w:cs="Arial"/>
            <w:u w:val="none"/>
            <w:lang w:val="ka-GE"/>
          </w:rPr>
          <w:t>administration@elkana.org.ge</w:t>
        </w:r>
      </w:hyperlink>
      <w:r w:rsidR="00420A66" w:rsidRPr="00420A66">
        <w:rPr>
          <w:rStyle w:val="Hyperlink"/>
          <w:rFonts w:ascii="Arial" w:hAnsi="Arial"/>
          <w:u w:val="none"/>
          <w:lang w:val="ka-GE"/>
        </w:rPr>
        <w:t xml:space="preserve"> </w:t>
      </w:r>
      <w:r w:rsidR="007E750B" w:rsidRPr="00420A66">
        <w:rPr>
          <w:rFonts w:ascii="Sylfaen" w:hAnsi="Sylfaen"/>
          <w:lang w:val="ka-GE"/>
        </w:rPr>
        <w:t xml:space="preserve"> </w:t>
      </w:r>
      <w:r w:rsidR="007E750B" w:rsidRPr="007E750B">
        <w:rPr>
          <w:rFonts w:ascii="Sylfaen" w:hAnsi="Sylfaen"/>
          <w:lang w:val="ka-GE"/>
        </w:rPr>
        <w:t xml:space="preserve">  </w:t>
      </w:r>
      <w:r w:rsidR="007E750B">
        <w:rPr>
          <w:rFonts w:ascii="Sylfaen" w:hAnsi="Sylfaen"/>
          <w:lang w:val="ka-GE"/>
        </w:rPr>
        <w:t xml:space="preserve">ან მოგვაწოდოთ </w:t>
      </w:r>
      <w:r w:rsidR="007E750B" w:rsidRPr="007E750B">
        <w:rPr>
          <w:rFonts w:ascii="Sylfaen" w:hAnsi="Sylfaen"/>
          <w:lang w:val="ka-GE"/>
        </w:rPr>
        <w:t xml:space="preserve"> </w:t>
      </w:r>
      <w:r w:rsidR="00207095">
        <w:rPr>
          <w:rFonts w:ascii="Sylfaen" w:hAnsi="Sylfaen"/>
          <w:lang w:val="ka-GE"/>
        </w:rPr>
        <w:t>მისამართზე: თბილისი, გაზაფხულის ქ. #</w:t>
      </w:r>
      <w:r w:rsidR="007E750B" w:rsidRPr="007E750B">
        <w:rPr>
          <w:rFonts w:ascii="Sylfaen" w:hAnsi="Sylfaen"/>
          <w:lang w:val="ka-GE"/>
        </w:rPr>
        <w:t>61</w:t>
      </w:r>
      <w:r w:rsidR="00207095">
        <w:rPr>
          <w:rFonts w:ascii="Sylfaen" w:hAnsi="Sylfaen"/>
          <w:lang w:val="ka-GE"/>
        </w:rPr>
        <w:t xml:space="preserve">;  </w:t>
      </w:r>
    </w:p>
    <w:p w:rsidR="00015868" w:rsidRPr="002325E5" w:rsidRDefault="00015868" w:rsidP="003E63A3">
      <w:pPr>
        <w:ind w:left="-720"/>
        <w:rPr>
          <w:rFonts w:ascii="Sylfaen" w:hAnsi="Sylfaen"/>
          <w:b/>
        </w:rPr>
      </w:pPr>
      <w:r>
        <w:rPr>
          <w:rFonts w:ascii="Sylfaen" w:hAnsi="Sylfaen"/>
          <w:lang w:val="ka-GE"/>
        </w:rPr>
        <w:t>დამატებითი კით</w:t>
      </w:r>
      <w:r w:rsidR="00694211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ვებისათვის შეგიძლიათ დაგვიკავშირდეთ: </w:t>
      </w:r>
      <w:r w:rsidR="002325E5" w:rsidRPr="002325E5">
        <w:rPr>
          <w:rFonts w:ascii="Sylfaen" w:hAnsi="Sylfaen"/>
          <w:b/>
          <w:lang w:val="ka-GE"/>
        </w:rPr>
        <w:t xml:space="preserve">(+995) </w:t>
      </w:r>
      <w:r w:rsidRPr="002325E5">
        <w:rPr>
          <w:rFonts w:ascii="Sylfaen" w:hAnsi="Sylfaen"/>
          <w:b/>
          <w:lang w:val="ka-GE"/>
        </w:rPr>
        <w:t>59</w:t>
      </w:r>
      <w:r w:rsidR="003E63A3">
        <w:rPr>
          <w:rFonts w:ascii="Sylfaen" w:hAnsi="Sylfaen"/>
          <w:b/>
          <w:lang w:val="ka-GE"/>
        </w:rPr>
        <w:t>8 27 47 20</w:t>
      </w:r>
    </w:p>
    <w:p w:rsidR="00AD0C5E" w:rsidRDefault="00207095" w:rsidP="003E63A3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</w:t>
      </w:r>
      <w:r w:rsidR="00AD0C5E">
        <w:rPr>
          <w:rFonts w:ascii="Sylfaen" w:hAnsi="Sylfaen"/>
          <w:lang w:val="ka-GE"/>
        </w:rPr>
        <w:t xml:space="preserve">ას თან უნდა ერთვოდეს </w:t>
      </w:r>
      <w:r w:rsidR="007E750B">
        <w:rPr>
          <w:rFonts w:ascii="Sylfaen" w:hAnsi="Sylfaen"/>
          <w:lang w:val="ka-GE"/>
        </w:rPr>
        <w:t xml:space="preserve">მოკლე </w:t>
      </w:r>
      <w:r w:rsidR="00AD0C5E">
        <w:rPr>
          <w:rFonts w:ascii="Sylfaen" w:hAnsi="Sylfaen"/>
          <w:lang w:val="ka-GE"/>
        </w:rPr>
        <w:t xml:space="preserve">ინფორმაცია თქვენი  სამუშაო გამოცდილების </w:t>
      </w:r>
      <w:r w:rsidR="00FE7E2C">
        <w:rPr>
          <w:rFonts w:ascii="Sylfaen" w:hAnsi="Sylfaen"/>
          <w:lang w:val="ka-GE"/>
        </w:rPr>
        <w:t>შესახებ</w:t>
      </w:r>
      <w:r w:rsidR="00694211">
        <w:rPr>
          <w:rFonts w:ascii="Sylfaen" w:hAnsi="Sylfaen"/>
          <w:lang w:val="ka-GE"/>
        </w:rPr>
        <w:t>.</w:t>
      </w:r>
    </w:p>
    <w:p w:rsidR="00AF40EA" w:rsidRDefault="007E750B" w:rsidP="00AF40EA">
      <w:pPr>
        <w:ind w:left="-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</w:t>
      </w:r>
      <w:r w:rsidR="00CC7AD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მოწოდებული </w:t>
      </w:r>
      <w:r w:rsidR="00567728">
        <w:rPr>
          <w:rFonts w:ascii="Sylfaen" w:hAnsi="Sylfaen"/>
          <w:lang w:val="ka-GE"/>
        </w:rPr>
        <w:t>უნდა იყოს დამატებითი ღირებულების (დღგ-ს)  გარეშე</w:t>
      </w:r>
      <w:r w:rsidR="00420A66">
        <w:rPr>
          <w:rFonts w:ascii="Sylfaen" w:hAnsi="Sylfaen"/>
        </w:rPr>
        <w:t>,</w:t>
      </w:r>
      <w:r w:rsidR="00567728">
        <w:rPr>
          <w:rFonts w:ascii="Sylfaen" w:hAnsi="Sylfaen"/>
          <w:lang w:val="ka-GE"/>
        </w:rPr>
        <w:t xml:space="preserve"> </w:t>
      </w:r>
      <w:r w:rsidR="00CC7AD8">
        <w:rPr>
          <w:rFonts w:ascii="Sylfaen" w:hAnsi="Sylfaen"/>
          <w:lang w:val="ka-GE"/>
        </w:rPr>
        <w:t xml:space="preserve"> </w:t>
      </w:r>
      <w:r w:rsidR="00567728">
        <w:rPr>
          <w:rFonts w:ascii="Sylfaen" w:hAnsi="Sylfaen"/>
          <w:lang w:val="ka-GE"/>
        </w:rPr>
        <w:t>პროექტი სარგებლობს საგადასახადო შეღავათებით.</w:t>
      </w:r>
    </w:p>
    <w:p w:rsidR="00257443" w:rsidRPr="00AF40EA" w:rsidRDefault="00257443" w:rsidP="00AF40EA">
      <w:pPr>
        <w:ind w:left="-720"/>
        <w:rPr>
          <w:rFonts w:ascii="Sylfaen" w:hAnsi="Sylfaen"/>
          <w:lang w:val="ka-GE"/>
        </w:rPr>
      </w:pPr>
      <w:r w:rsidRPr="00AF40EA">
        <w:rPr>
          <w:rFonts w:ascii="Sylfaen" w:hAnsi="Sylfaen"/>
          <w:lang w:val="ka-GE"/>
        </w:rPr>
        <w:t xml:space="preserve">ღირებულება  მიუთითეთ ტრანსპორტირების გარეშე.   </w:t>
      </w:r>
    </w:p>
    <w:p w:rsidR="00207095" w:rsidRPr="00AD0C5E" w:rsidRDefault="00567728" w:rsidP="003E63A3">
      <w:pPr>
        <w:ind w:left="-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შემოთავაზების </w:t>
      </w:r>
      <w:r w:rsidR="00207095" w:rsidRPr="00AD0C5E">
        <w:rPr>
          <w:rFonts w:ascii="Sylfaen" w:hAnsi="Sylfaen"/>
          <w:b/>
          <w:lang w:val="ka-GE"/>
        </w:rPr>
        <w:t xml:space="preserve"> მიღების ბოლო ვადა</w:t>
      </w:r>
      <w:r w:rsidR="003E63A3">
        <w:rPr>
          <w:rFonts w:ascii="Sylfaen" w:hAnsi="Sylfaen"/>
          <w:b/>
          <w:lang w:val="ka-GE"/>
        </w:rPr>
        <w:t xml:space="preserve">  </w:t>
      </w:r>
      <w:r w:rsidR="00AF40EA">
        <w:rPr>
          <w:rFonts w:ascii="Sylfaen" w:hAnsi="Sylfaen"/>
          <w:b/>
          <w:lang w:val="ka-GE"/>
        </w:rPr>
        <w:t xml:space="preserve">-  </w:t>
      </w:r>
      <w:r w:rsidR="003E63A3"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  <w:lang w:val="ka-GE"/>
        </w:rPr>
        <w:t>21</w:t>
      </w:r>
      <w:r w:rsidR="00207095" w:rsidRPr="00AD0C5E">
        <w:rPr>
          <w:rFonts w:ascii="Sylfaen" w:hAnsi="Sylfaen"/>
          <w:b/>
          <w:lang w:val="ka-GE"/>
        </w:rPr>
        <w:t xml:space="preserve"> </w:t>
      </w:r>
      <w:r w:rsidR="00207095" w:rsidRPr="00313D8E">
        <w:rPr>
          <w:rFonts w:ascii="Sylfaen" w:hAnsi="Sylfaen"/>
          <w:b/>
          <w:lang w:val="ka-GE"/>
        </w:rPr>
        <w:t>წლის</w:t>
      </w:r>
      <w:r w:rsidR="003E63A3" w:rsidRPr="00313D8E">
        <w:rPr>
          <w:rFonts w:ascii="Sylfaen" w:hAnsi="Sylfaen"/>
          <w:b/>
          <w:lang w:val="ka-GE"/>
        </w:rPr>
        <w:t xml:space="preserve"> </w:t>
      </w:r>
      <w:r w:rsidR="00257443"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ka-GE"/>
        </w:rPr>
        <w:t xml:space="preserve"> აპრილის ჩათვლით</w:t>
      </w:r>
      <w:r w:rsidR="00AF40EA">
        <w:rPr>
          <w:rFonts w:ascii="Sylfaen" w:hAnsi="Sylfaen"/>
          <w:b/>
          <w:lang w:val="ka-GE"/>
        </w:rPr>
        <w:t>.</w:t>
      </w:r>
    </w:p>
    <w:p w:rsidR="00207095" w:rsidRPr="00207095" w:rsidRDefault="00207095" w:rsidP="00A22088">
      <w:pPr>
        <w:ind w:left="360"/>
        <w:rPr>
          <w:rFonts w:ascii="Sylfaen" w:hAnsi="Sylfaen"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  <w:bookmarkStart w:id="0" w:name="_GoBack"/>
      <w:bookmarkEnd w:id="0"/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3E63A3" w:rsidRPr="00207095" w:rsidRDefault="003E63A3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P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207095" w:rsidRDefault="00207095" w:rsidP="00A22088">
      <w:pPr>
        <w:ind w:left="360"/>
        <w:rPr>
          <w:rFonts w:ascii="Sylfaen" w:hAnsi="Sylfaen"/>
          <w:b/>
          <w:lang w:val="ka-GE"/>
        </w:rPr>
      </w:pPr>
    </w:p>
    <w:p w:rsidR="003E63A3" w:rsidRDefault="003E63A3" w:rsidP="00A22088">
      <w:pPr>
        <w:ind w:left="360"/>
        <w:rPr>
          <w:rFonts w:ascii="Sylfaen" w:hAnsi="Sylfaen"/>
          <w:b/>
          <w:lang w:val="ka-GE"/>
        </w:rPr>
      </w:pPr>
    </w:p>
    <w:p w:rsidR="003E63A3" w:rsidRDefault="003E63A3" w:rsidP="00A22088">
      <w:pPr>
        <w:ind w:left="360"/>
        <w:rPr>
          <w:rFonts w:ascii="Sylfaen" w:hAnsi="Sylfaen"/>
          <w:b/>
          <w:lang w:val="ka-GE"/>
        </w:rPr>
      </w:pPr>
    </w:p>
    <w:tbl>
      <w:tblPr>
        <w:tblW w:w="114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419"/>
        <w:gridCol w:w="2821"/>
        <w:gridCol w:w="7186"/>
        <w:gridCol w:w="1004"/>
      </w:tblGrid>
      <w:tr w:rsidR="00420A66" w:rsidTr="00AF40EA">
        <w:trPr>
          <w:trHeight w:val="6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420A66" w:rsidRDefault="00420A66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420A66" w:rsidRDefault="00420A66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სპეციფიკაციები</w:t>
            </w:r>
            <w:proofErr w:type="spellEnd"/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</w:tr>
      <w:tr w:rsidR="00420A66" w:rsidTr="00AF40EA">
        <w:trPr>
          <w:trHeight w:val="43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ylfaen" w:hAnsi="Sylfaen"/>
                <w:b/>
                <w:bCs/>
                <w:color w:val="000000"/>
                <w:sz w:val="32"/>
                <w:szCs w:val="32"/>
              </w:rPr>
              <w:t>მეფუტკრეობის</w:t>
            </w:r>
            <w:proofErr w:type="spellEnd"/>
            <w:r>
              <w:rPr>
                <w:rFonts w:ascii="Sylfaen" w:hAnsi="Sylfaen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bCs/>
                <w:color w:val="000000"/>
                <w:sz w:val="32"/>
                <w:szCs w:val="32"/>
              </w:rPr>
              <w:t>ინვენტარი</w:t>
            </w:r>
            <w:proofErr w:type="spellEnd"/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შხამის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ასაღები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შხამის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ასაღები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კასეტები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ყვავილის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მტვრის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დამჭერი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მისაფრენზე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მისამაგრებელი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50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ყვავილის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მტვრის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საშრობი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6-თაროიანი,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პლასტიკატის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გარე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კონსტრუქციით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შიდა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თაროები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სურსათთან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შეხებაში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ნებადართული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პლასტიკატის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კვება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–230ვ.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ტემპერატურის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კონტროლი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: 40–70°C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ციბრუტი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ელექტრო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4-ჩარჩოიანი,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ბარაბნით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4-კასეტიანი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მბრუნავი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ციბრუტს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კასეტები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304),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კვების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ბლოკი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230 ვ.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ციბრუტი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მექანიკური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4-ჩარჩოიანი,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ბარაბნით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ციბრუტს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4-კასეტიანი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მბრუნავი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კასეტები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304),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ბრუნვის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მექანიზმი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რედუქტორული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</w:tr>
      <w:tr w:rsidR="00420A66" w:rsidTr="00AF40EA">
        <w:trPr>
          <w:trHeight w:val="21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ასათლელი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მაგიდა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ავზი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1000მმ.,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ძაბრისებრი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ძირით,ძირის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ქვეშ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ჩამკეტი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ონკანით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ავზში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ჩამონტაჟებულია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გასაფილტრი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პერფორირებული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მოსახსნელი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თარო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ავზზე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პერპენდიკულარულად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დამაგრებულია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რეგულირებადი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ღერძი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მასში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ჩახრახნილი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წვეტინი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ფიქსატორით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ღერძზე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ამოკვეთილია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ასათლელი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ჩასადები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ადგილი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ავზის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სადგარი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ფეხები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9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ასათლელი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ელექტრო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დანა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საჭრელი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პირით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220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12 ვ.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9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ფილტრი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ორდონიანი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დიამეტრით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200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კომბინიზონი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3 XL,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ზედა-ქვედა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ქურთუკი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პირბადით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- 52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ჩასაკრავი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ხელსაწყო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ელექტროენერგიაზე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მომუშავე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, 12 v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სათლი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ვედრო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სურსათთან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შეხებაში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ნებადართული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პლასტმასის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30-35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მოცულობის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დასალუქი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83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პლასტმასის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რეზერვუარი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გოფრირებული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სურსათთან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შეხებაში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ნებადართული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მასალისგან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დამზადებული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შესანახი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ჭურჭელი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 (304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ფოლადის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12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შესანახი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ჭურჭელი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 (304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ფოლადის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ონკანით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შესანახი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ჭურჭელი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კასრი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 (304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ფოლადის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ონკანით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</w:tr>
      <w:tr w:rsidR="00420A66" w:rsidTr="00AF40EA">
        <w:trPr>
          <w:trHeight w:val="9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ცვილსადნობი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მშრალი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დნობით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ტემპერატურის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კონტორლის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რეჟიმით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ტევადობით</w:t>
            </w:r>
            <w:proofErr w:type="spellEnd"/>
            <w:r>
              <w:rPr>
                <w:rFonts w:ascii="Sylfaen" w:hAnsi="Sylfaen"/>
                <w:color w:val="00000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</w:rPr>
              <w:t>მუშაობის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სისტემა</w:t>
            </w:r>
            <w:proofErr w:type="spellEnd"/>
            <w:r>
              <w:rPr>
                <w:rFonts w:ascii="Sylfaen" w:hAnsi="Sylfaen"/>
                <w:color w:val="00000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</w:rPr>
              <w:t>გაზზე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ცეცხლზე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ცვილსადნობი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წყლის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ორთქლზე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დნობით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12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ტევადობით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მუშაობის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გაზზე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ცეცხლზე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ცვილსადნობი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მზის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ენერგიაზე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მომუშავე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15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ვორომერი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წამლის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შესაბოლებელი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აპარატი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ე.წ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პისტოლეტის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ჩახმახისებურ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ჩამრთველ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ღილაკზე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მომუშავე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რომელზეც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დამონტაჟებულია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წამლის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ჩასასხმელი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ქილა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ქვეშ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მოთავსებულია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საწვავის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ტუმბო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საიდანაც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გამოედინება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წამლის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ორთქლის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გამავალი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აღჭურვილი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მილით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მუშაობის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გაზი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ყუთი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ტრანსპორტირებისთვის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ტევადობით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დადანი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მხარზე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გადასაკიდი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ღვედით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პეტლზე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აწყობილი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გახსნა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დახურვის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ყუთი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ტრანსპორტირებისთვის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ტევადობით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დადანი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მხარზე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გადასაკიდი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ღვედით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პეტლზე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აწყობილი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გახსნა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დახურვის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დასათბუნებელი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ბალიში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ჰაერგამტარი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ქსოვილისგან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დამზადებული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სინტიკონის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ბამბის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შიგთავსით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103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დასათბუნებელი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ტილო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გამძლე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ქსოვილისგან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სქელი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ცელოფნის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მასალისგან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დამზადებული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65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საბოლებელი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ქრომირებული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ლითონის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გახსნადი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კონუსისებური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საბერველი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კორპუსი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აღჭურვილი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გარე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დამცავი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გარსით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რეფრაქტომეტრი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ტენიანობის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საზომი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თაფლში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წყლის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შაქრის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კონცენტრაციის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პროცენტულობის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გასაზომი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ხელის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ინსტრუმენტი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საბეჭდი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კეისი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ცვილის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ფირფიტების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წარმოებისათვის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ცხელი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მეთოდით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ბეჭდვის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კარკასით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ღვედი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მყარი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ქსოვილით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დამზადებული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ღვედი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კორპუსის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შესაკრავად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სიგრძით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ჩამკეტი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მექანიზმით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მჟაუნმჟავის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ვაპორაიზერი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220 ვ</w:t>
            </w:r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მომუშავე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აღჭურვილი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თერმორეგულირების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მექანიზმით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სპილენძის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აღჭურვილი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წამლის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ჩასაყრელი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ჭიქისებური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სივრცით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ცხელი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ბოლის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გამავალი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მილით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18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ნიკოტის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სისტემა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კომპლექტაცია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კეისის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პლასტმასის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მცირე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სადედე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ჯამების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ჩასაწყობი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სივრცეებით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100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ოდენობით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გამჭვირვალე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მხრიდან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სადედე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ჯამები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– 110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ჯამის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დამჭერი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– 30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დამჭერის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ფიქსატორი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–30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–30ცალი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</w:tr>
      <w:tr w:rsidR="00420A66" w:rsidTr="00AF40EA">
        <w:trPr>
          <w:trHeight w:val="12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დეკრისტალიზატორი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50მმ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დიამეტრით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რომელის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დამაგრებულია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კვადრატულ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მილის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მოთავსებულია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ტემპერატურის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თერმორეგულატორი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სიმაღლე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სპირალიდან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თერმორეგულატორამდე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80სმ.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მთლანად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აღჭურვილი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(304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მარკა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დეკრისტალიზატორი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ბიდონის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გარედან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შესაფუთი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ქამრისებური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დერმატინის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ე.წ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ლეიბი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გამათბობელი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შესაკრავი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თასმებით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ნაყრის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ყუთი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ტევადობით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დადანი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).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მხარზე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გადასაკიდი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ღვედით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თავსახური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პეტლზე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აწყობილი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გახსნა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დახურვის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სისტემით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ყუთის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გვერდით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ქვედა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მხარეს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საფრენ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მოწყობილობით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სარწყულებელი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მინიმუმ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ლიტრის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ტევადობის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ჭურჭელი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ფიქსირებული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თეფშისებური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პლასტიკატის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ფორმაზე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წყლის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მისაცემად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მავთულის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გასაბმელი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დაფა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ხის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დსპ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რომელზეც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მოთავსებულია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ფიქსატორები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დაფის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ზომა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დადანის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ტიპის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ჩარჩოსთვის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კბილებიანი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ასათლელი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ხელის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ინსტრუმენტი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ჩანგლისებური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პირით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ტარით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ხელოვნური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ფირფიტები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დადანის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ზომის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ცვილის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ფიჭისებური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ფირფიტები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180</w:t>
            </w:r>
          </w:p>
        </w:tc>
      </w:tr>
      <w:tr w:rsidR="00420A66" w:rsidTr="00AF40EA">
        <w:trPr>
          <w:trHeight w:val="9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რძის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შესაგროვებელი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ინვენტარი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ერთგირიანი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ჯამები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სამყნობი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ფითხი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რძის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ამოსაღები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კოვზი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ფუმფლის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ამოსაღები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ჩხირი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ჯამების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საწმენდი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ინსტრუმენტი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ასტამი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სკასთან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სამუშაო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უჟანგავი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ინსტრუმენტი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ტარით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უტაროთ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</w:tr>
      <w:tr w:rsidR="00420A66" w:rsidTr="00AF40EA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ხუფი-ფიქსატორი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ცილინდრული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ხუფი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მეტალის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ფუტკრის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დედის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იზოლაციისთვის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განემანის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ბადე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ylfaen" w:hAnsi="Sylfaen"/>
                <w:color w:val="000000"/>
                <w:sz w:val="20"/>
                <w:szCs w:val="20"/>
              </w:rPr>
              <w:t>სკის</w:t>
            </w:r>
            <w:proofErr w:type="spellEnd"/>
            <w:proofErr w:type="gram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კორპუსების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გამყოფი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ბადე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პლასტიკის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მასალისგან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</w:tr>
      <w:tr w:rsidR="00420A66" w:rsidTr="00AF40EA">
        <w:trPr>
          <w:trHeight w:val="3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66" w:rsidRDefault="00420A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ჩარჩოების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სახვრეტი</w:t>
            </w:r>
            <w:proofErr w:type="spellEnd"/>
          </w:p>
        </w:tc>
        <w:tc>
          <w:tcPr>
            <w:tcW w:w="7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ელექტრო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მოწყობილობა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Sylfaen" w:hAnsi="Sylfaen"/>
                <w:color w:val="000000"/>
                <w:sz w:val="20"/>
                <w:szCs w:val="20"/>
              </w:rPr>
              <w:t>ბურღიანი</w:t>
            </w:r>
            <w:proofErr w:type="spellEnd"/>
            <w:r>
              <w:rPr>
                <w:rFonts w:ascii="Sylfaen" w:hAnsi="Sylfaen"/>
                <w:color w:val="000000"/>
                <w:sz w:val="20"/>
                <w:szCs w:val="20"/>
              </w:rPr>
              <w:t>, 220 ვ.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A66" w:rsidRDefault="00420A66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</w:tr>
    </w:tbl>
    <w:p w:rsidR="00CC7AD8" w:rsidRDefault="00CC7AD8" w:rsidP="006D1152">
      <w:pPr>
        <w:rPr>
          <w:rFonts w:ascii="Sylfaen" w:hAnsi="Sylfaen"/>
          <w:b/>
          <w:lang w:val="ka-GE"/>
        </w:rPr>
      </w:pPr>
    </w:p>
    <w:sectPr w:rsidR="00CC7AD8" w:rsidSect="00AF40EA">
      <w:pgSz w:w="12240" w:h="15840"/>
      <w:pgMar w:top="851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E6066"/>
    <w:multiLevelType w:val="hybridMultilevel"/>
    <w:tmpl w:val="9A1C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D53"/>
    <w:multiLevelType w:val="hybridMultilevel"/>
    <w:tmpl w:val="C07C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033A"/>
    <w:multiLevelType w:val="hybridMultilevel"/>
    <w:tmpl w:val="DFC62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61"/>
    <w:rsid w:val="00015868"/>
    <w:rsid w:val="00060E36"/>
    <w:rsid w:val="000940DD"/>
    <w:rsid w:val="000A6D61"/>
    <w:rsid w:val="000D6941"/>
    <w:rsid w:val="000F4C67"/>
    <w:rsid w:val="0011112C"/>
    <w:rsid w:val="001C7BB2"/>
    <w:rsid w:val="001F089D"/>
    <w:rsid w:val="00207095"/>
    <w:rsid w:val="002325E5"/>
    <w:rsid w:val="00257443"/>
    <w:rsid w:val="00281F13"/>
    <w:rsid w:val="002C13C2"/>
    <w:rsid w:val="00305768"/>
    <w:rsid w:val="00313D8E"/>
    <w:rsid w:val="00386F00"/>
    <w:rsid w:val="00395B42"/>
    <w:rsid w:val="003E63A3"/>
    <w:rsid w:val="00420A66"/>
    <w:rsid w:val="00437B93"/>
    <w:rsid w:val="004874B0"/>
    <w:rsid w:val="00490DAA"/>
    <w:rsid w:val="004F6DC0"/>
    <w:rsid w:val="00530BA2"/>
    <w:rsid w:val="00567728"/>
    <w:rsid w:val="00586554"/>
    <w:rsid w:val="005B12B7"/>
    <w:rsid w:val="005B3ABE"/>
    <w:rsid w:val="005B6628"/>
    <w:rsid w:val="005D5DB5"/>
    <w:rsid w:val="00615B8E"/>
    <w:rsid w:val="006166DA"/>
    <w:rsid w:val="00643978"/>
    <w:rsid w:val="00647452"/>
    <w:rsid w:val="00694211"/>
    <w:rsid w:val="006A5349"/>
    <w:rsid w:val="006B56DA"/>
    <w:rsid w:val="006D1152"/>
    <w:rsid w:val="0075763A"/>
    <w:rsid w:val="00782A79"/>
    <w:rsid w:val="007E750B"/>
    <w:rsid w:val="008646B4"/>
    <w:rsid w:val="008732A0"/>
    <w:rsid w:val="008822EC"/>
    <w:rsid w:val="008A29CA"/>
    <w:rsid w:val="008B2669"/>
    <w:rsid w:val="008C2F02"/>
    <w:rsid w:val="00902F06"/>
    <w:rsid w:val="00942FB2"/>
    <w:rsid w:val="009C126E"/>
    <w:rsid w:val="00A22088"/>
    <w:rsid w:val="00A51BE1"/>
    <w:rsid w:val="00A635D1"/>
    <w:rsid w:val="00A71CF7"/>
    <w:rsid w:val="00A76697"/>
    <w:rsid w:val="00AB3109"/>
    <w:rsid w:val="00AD0C5E"/>
    <w:rsid w:val="00AF40EA"/>
    <w:rsid w:val="00B07FBA"/>
    <w:rsid w:val="00B14266"/>
    <w:rsid w:val="00B61637"/>
    <w:rsid w:val="00BA4046"/>
    <w:rsid w:val="00BE47FC"/>
    <w:rsid w:val="00C32C65"/>
    <w:rsid w:val="00C335C9"/>
    <w:rsid w:val="00C93818"/>
    <w:rsid w:val="00CC7AD8"/>
    <w:rsid w:val="00D26E75"/>
    <w:rsid w:val="00D558F4"/>
    <w:rsid w:val="00E54494"/>
    <w:rsid w:val="00ED7F57"/>
    <w:rsid w:val="00F44A6B"/>
    <w:rsid w:val="00F53907"/>
    <w:rsid w:val="00FE7E2C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15161-2A15-4348-BCE9-3452287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D6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0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elkana.org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rt-marketing@elkana.or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rt-manager@elkana.org.g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</dc:creator>
  <cp:keywords/>
  <dc:description/>
  <cp:lastModifiedBy>RePack by Diakov</cp:lastModifiedBy>
  <cp:revision>9</cp:revision>
  <cp:lastPrinted>2013-05-24T08:38:00Z</cp:lastPrinted>
  <dcterms:created xsi:type="dcterms:W3CDTF">2015-06-23T13:15:00Z</dcterms:created>
  <dcterms:modified xsi:type="dcterms:W3CDTF">2021-04-05T09:03:00Z</dcterms:modified>
</cp:coreProperties>
</file>